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75" w:rsidRPr="007E2CBD" w:rsidRDefault="007E2CBD" w:rsidP="001F11FD">
      <w:pPr>
        <w:shd w:val="clear" w:color="auto" w:fill="FFFFFF"/>
        <w:tabs>
          <w:tab w:val="left" w:pos="176"/>
        </w:tabs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2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УДК 1862</w:t>
      </w:r>
    </w:p>
    <w:p w:rsidR="007E2CBD" w:rsidRPr="0051593B" w:rsidRDefault="007E2CBD" w:rsidP="001F11F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593B">
        <w:rPr>
          <w:rFonts w:ascii="Times New Roman" w:hAnsi="Times New Roman" w:cs="Times New Roman"/>
          <w:b/>
          <w:sz w:val="28"/>
          <w:szCs w:val="28"/>
        </w:rPr>
        <w:t>А.С. Разгуляева</w:t>
      </w:r>
      <w:r w:rsidR="00854186" w:rsidRPr="0051593B">
        <w:rPr>
          <w:rFonts w:ascii="Times New Roman" w:hAnsi="Times New Roman" w:cs="Times New Roman"/>
          <w:sz w:val="28"/>
          <w:szCs w:val="28"/>
        </w:rPr>
        <w:t>,</w:t>
      </w:r>
    </w:p>
    <w:p w:rsidR="00854186" w:rsidRPr="0051593B" w:rsidRDefault="007E2CBD" w:rsidP="001F11F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593B">
        <w:rPr>
          <w:rFonts w:ascii="Times New Roman" w:hAnsi="Times New Roman" w:cs="Times New Roman"/>
          <w:sz w:val="28"/>
          <w:szCs w:val="28"/>
        </w:rPr>
        <w:t>студентка магистратуры</w:t>
      </w:r>
      <w:r w:rsidR="00854186" w:rsidRPr="00515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CBD" w:rsidRPr="0051593B" w:rsidRDefault="00854186" w:rsidP="001F11F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1593B">
        <w:rPr>
          <w:rFonts w:ascii="Times New Roman" w:hAnsi="Times New Roman" w:cs="Times New Roman"/>
          <w:sz w:val="28"/>
          <w:szCs w:val="28"/>
        </w:rPr>
        <w:t>ЯрГУ</w:t>
      </w:r>
      <w:proofErr w:type="spellEnd"/>
      <w:r w:rsidRPr="0051593B">
        <w:rPr>
          <w:rFonts w:ascii="Times New Roman" w:hAnsi="Times New Roman" w:cs="Times New Roman"/>
          <w:sz w:val="28"/>
          <w:szCs w:val="28"/>
        </w:rPr>
        <w:t xml:space="preserve"> им. П.Г. Демидова, </w:t>
      </w:r>
    </w:p>
    <w:p w:rsidR="00854186" w:rsidRPr="0051593B" w:rsidRDefault="00854186" w:rsidP="001F11F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593B">
        <w:rPr>
          <w:rFonts w:ascii="Times New Roman" w:hAnsi="Times New Roman" w:cs="Times New Roman"/>
          <w:sz w:val="28"/>
          <w:szCs w:val="28"/>
        </w:rPr>
        <w:t>г. Я</w:t>
      </w:r>
      <w:r w:rsidR="007E2CBD" w:rsidRPr="0051593B">
        <w:rPr>
          <w:rFonts w:ascii="Times New Roman" w:hAnsi="Times New Roman" w:cs="Times New Roman"/>
          <w:sz w:val="28"/>
          <w:szCs w:val="28"/>
        </w:rPr>
        <w:t>рославль, РФ</w:t>
      </w:r>
    </w:p>
    <w:p w:rsidR="0064059D" w:rsidRDefault="001F11FD" w:rsidP="001F11FD">
      <w:pPr>
        <w:tabs>
          <w:tab w:val="left" w:pos="5595"/>
          <w:tab w:val="right" w:pos="963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proofErr w:type="spellStart"/>
      <w:r w:rsidR="00D35038">
        <w:rPr>
          <w:rFonts w:ascii="Times New Roman" w:hAnsi="Times New Roman" w:cs="Times New Roman"/>
          <w:sz w:val="28"/>
          <w:szCs w:val="28"/>
        </w:rPr>
        <w:t>razguly</w:t>
      </w:r>
      <w:r w:rsidR="00D35038">
        <w:rPr>
          <w:rFonts w:ascii="Times New Roman" w:hAnsi="Times New Roman" w:cs="Times New Roman"/>
          <w:sz w:val="28"/>
          <w:szCs w:val="28"/>
          <w:lang w:val="en-US"/>
        </w:rPr>
        <w:t>aevanastasia</w:t>
      </w:r>
      <w:proofErr w:type="spellEnd"/>
      <w:r w:rsidR="0051593B" w:rsidRPr="0051593B">
        <w:rPr>
          <w:rFonts w:ascii="Times New Roman" w:hAnsi="Times New Roman" w:cs="Times New Roman"/>
          <w:sz w:val="28"/>
          <w:szCs w:val="28"/>
        </w:rPr>
        <w:t>@mail.ru</w:t>
      </w:r>
      <w:r w:rsidR="00854186" w:rsidRPr="0051593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51593B" w:rsidRPr="0051593B" w:rsidRDefault="0051593B" w:rsidP="001F11F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6CBB" w:rsidRPr="002C7180" w:rsidRDefault="004C5362" w:rsidP="001F11FD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C7180">
        <w:rPr>
          <w:rFonts w:ascii="Times New Roman" w:hAnsi="Times New Roman" w:cs="Times New Roman"/>
          <w:b/>
          <w:caps/>
          <w:sz w:val="28"/>
          <w:szCs w:val="28"/>
        </w:rPr>
        <w:t>Роль государственно-частного партнерства в сфере ЖКХ</w:t>
      </w:r>
    </w:p>
    <w:p w:rsidR="002C7180" w:rsidRPr="002C7180" w:rsidRDefault="002C7180" w:rsidP="001F11FD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2C7180">
        <w:rPr>
          <w:rFonts w:ascii="Times New Roman" w:hAnsi="Times New Roman" w:cs="Times New Roman"/>
          <w:b/>
          <w:sz w:val="28"/>
          <w:szCs w:val="28"/>
          <w:lang w:val="en-US"/>
        </w:rPr>
        <w:t>THE ROLE OF PUBLIC-PRIVATE PARTNERSHIP IN THE HOUSING SECTOR</w:t>
      </w:r>
    </w:p>
    <w:p w:rsidR="00667CCF" w:rsidRPr="002C7180" w:rsidRDefault="00A73604" w:rsidP="001F11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180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667CCF" w:rsidRPr="002C7180" w:rsidRDefault="00A73604" w:rsidP="001F11FD">
      <w:pPr>
        <w:pStyle w:val="a8"/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C7180">
        <w:rPr>
          <w:sz w:val="28"/>
          <w:szCs w:val="28"/>
        </w:rPr>
        <w:t xml:space="preserve">В статье доказывается </w:t>
      </w:r>
      <w:r w:rsidR="00667CCF" w:rsidRPr="002C7180">
        <w:rPr>
          <w:sz w:val="28"/>
          <w:szCs w:val="28"/>
        </w:rPr>
        <w:t>актуальность</w:t>
      </w:r>
      <w:r w:rsidRPr="002C7180">
        <w:rPr>
          <w:sz w:val="28"/>
          <w:szCs w:val="28"/>
        </w:rPr>
        <w:t xml:space="preserve"> применения государственно-частного партнерства в сфере ЖКХ, с целью улучшения жилищных условий граждан и разработки мероприятий по капитальному ремонту многоквартирных домов, что обусловлено </w:t>
      </w:r>
      <w:r w:rsidRPr="002C7180">
        <w:rPr>
          <w:rFonts w:eastAsia="Times New Roman"/>
          <w:sz w:val="28"/>
          <w:szCs w:val="28"/>
          <w:lang w:eastAsia="ru-RU"/>
        </w:rPr>
        <w:t>наличием проблем в сфере ЖКХ, и дефицитом бюджета на проведение капитального ремонта.</w:t>
      </w:r>
      <w:r w:rsidR="00667CCF" w:rsidRPr="002C7180">
        <w:rPr>
          <w:rFonts w:eastAsia="Times New Roman"/>
          <w:sz w:val="28"/>
          <w:szCs w:val="28"/>
          <w:lang w:eastAsia="ru-RU"/>
        </w:rPr>
        <w:t xml:space="preserve"> Применение модели государственно-частного партнерства должно помочь сохранению и повышению темпов реко</w:t>
      </w:r>
      <w:r w:rsidR="00667CCF" w:rsidRPr="002C7180">
        <w:rPr>
          <w:rFonts w:eastAsia="Times New Roman"/>
          <w:sz w:val="28"/>
          <w:szCs w:val="28"/>
          <w:lang w:eastAsia="ru-RU"/>
        </w:rPr>
        <w:t>н</w:t>
      </w:r>
      <w:r w:rsidR="00667CCF" w:rsidRPr="002C7180">
        <w:rPr>
          <w:rFonts w:eastAsia="Times New Roman"/>
          <w:sz w:val="28"/>
          <w:szCs w:val="28"/>
          <w:lang w:eastAsia="ru-RU"/>
        </w:rPr>
        <w:t>струкции и развития систем жилищно-коммунальной инфраструктуры.</w:t>
      </w:r>
    </w:p>
    <w:p w:rsidR="002C7180" w:rsidRPr="005B5B99" w:rsidRDefault="002C7180" w:rsidP="001F11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C71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Annotation </w:t>
      </w:r>
    </w:p>
    <w:p w:rsidR="002C7180" w:rsidRPr="005B5B99" w:rsidRDefault="002C7180" w:rsidP="001F11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7180">
        <w:rPr>
          <w:rFonts w:ascii="Times New Roman" w:hAnsi="Times New Roman" w:cs="Times New Roman"/>
          <w:sz w:val="28"/>
          <w:szCs w:val="28"/>
          <w:lang w:val="en-US"/>
        </w:rPr>
        <w:t>The article proves the relevance of the use of public-private partnership in the housing sector, in order to improve the living conditions of citizens and the develo</w:t>
      </w:r>
      <w:r w:rsidRPr="002C718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C7180">
        <w:rPr>
          <w:rFonts w:ascii="Times New Roman" w:hAnsi="Times New Roman" w:cs="Times New Roman"/>
          <w:sz w:val="28"/>
          <w:szCs w:val="28"/>
          <w:lang w:val="en-US"/>
        </w:rPr>
        <w:t>ment of measures for the overhaul of apartment buildings, due to the problems in the housing sector, and the budget deficit for the overhaul. The application of the public-private partnership model should help to maintain and increase the pace of recon-</w:t>
      </w:r>
      <w:proofErr w:type="spellStart"/>
      <w:r w:rsidRPr="002C7180">
        <w:rPr>
          <w:rFonts w:ascii="Times New Roman" w:hAnsi="Times New Roman" w:cs="Times New Roman"/>
          <w:sz w:val="28"/>
          <w:szCs w:val="28"/>
          <w:lang w:val="en-US"/>
        </w:rPr>
        <w:t>struction</w:t>
      </w:r>
      <w:proofErr w:type="spellEnd"/>
      <w:r w:rsidRPr="002C7180">
        <w:rPr>
          <w:rFonts w:ascii="Times New Roman" w:hAnsi="Times New Roman" w:cs="Times New Roman"/>
          <w:sz w:val="28"/>
          <w:szCs w:val="28"/>
          <w:lang w:val="en-US"/>
        </w:rPr>
        <w:t xml:space="preserve"> and development of housing and communal infrastructure systems.</w:t>
      </w:r>
    </w:p>
    <w:p w:rsidR="007E2CBD" w:rsidRPr="002C7180" w:rsidRDefault="00A73604" w:rsidP="001F11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слова</w:t>
      </w:r>
      <w:r w:rsidRPr="002C71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7CCF" w:rsidRPr="002C7180" w:rsidRDefault="002C7180" w:rsidP="001F11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A73604" w:rsidRPr="002C7180">
        <w:rPr>
          <w:rFonts w:ascii="Times New Roman" w:eastAsia="Calibri" w:hAnsi="Times New Roman" w:cs="Times New Roman"/>
          <w:sz w:val="28"/>
          <w:szCs w:val="28"/>
        </w:rPr>
        <w:t xml:space="preserve">осударственно-частное партнерство, </w:t>
      </w:r>
      <w:r w:rsidR="00667CCF" w:rsidRPr="002C7180">
        <w:rPr>
          <w:rFonts w:ascii="Times New Roman" w:eastAsia="Calibri" w:hAnsi="Times New Roman" w:cs="Times New Roman"/>
          <w:sz w:val="28"/>
          <w:szCs w:val="28"/>
        </w:rPr>
        <w:t>капитальный ремонт многоквартирных домов, ЖКХ, финансирование ЖКХ.</w:t>
      </w:r>
    </w:p>
    <w:p w:rsidR="002C7180" w:rsidRPr="005B5B99" w:rsidRDefault="002C7180" w:rsidP="001F11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C7180">
        <w:rPr>
          <w:rFonts w:ascii="Times New Roman" w:hAnsi="Times New Roman" w:cs="Times New Roman"/>
          <w:b/>
          <w:sz w:val="28"/>
          <w:szCs w:val="28"/>
          <w:lang w:val="en-US"/>
        </w:rPr>
        <w:t>Keyword:</w:t>
      </w:r>
    </w:p>
    <w:p w:rsidR="00A73604" w:rsidRPr="005B5B99" w:rsidRDefault="002C7180" w:rsidP="001F11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P</w:t>
      </w:r>
      <w:r w:rsidRPr="002C7180">
        <w:rPr>
          <w:rFonts w:ascii="Times New Roman" w:hAnsi="Times New Roman" w:cs="Times New Roman"/>
          <w:sz w:val="28"/>
          <w:szCs w:val="28"/>
          <w:lang w:val="en-US"/>
        </w:rPr>
        <w:t>ublic-private partnership, capital repairs of apartment buildings, housing, housing and utilities financing.</w:t>
      </w:r>
    </w:p>
    <w:p w:rsidR="00C73E5C" w:rsidRPr="005B5B99" w:rsidRDefault="00C73E5C" w:rsidP="001F11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54186" w:rsidRPr="00FD7D3C" w:rsidRDefault="00C13D0D" w:rsidP="001F11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наиболее актуальных проблем</w:t>
      </w:r>
      <w:r w:rsidR="00854186" w:rsidRPr="00FD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сферы ЖКХ</w:t>
      </w:r>
      <w:r w:rsidRPr="00FD7D3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решаемых по сре</w:t>
      </w:r>
      <w:r w:rsidRPr="00FD7D3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D7D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ствам государственно-частного партнерства, является проведение капитального ремонта многоквартирных домов.</w:t>
      </w:r>
      <w:r w:rsidR="00C7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186" w:rsidRPr="00FD7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Недостаток средств государственного (мун</w:t>
      </w:r>
      <w:r w:rsidR="00854186" w:rsidRPr="00FD7D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54186" w:rsidRPr="00FD7D3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ципального) бюджета для реализации социально значимых проектов, или с</w:t>
      </w:r>
      <w:r w:rsidR="00854186" w:rsidRPr="00FD7D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54186" w:rsidRPr="00FD7D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держания объектов ЖКХ приводит необходимости привлечения частных кап</w:t>
      </w:r>
      <w:r w:rsidR="00854186" w:rsidRPr="00FD7D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54186" w:rsidRPr="00FD7D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 в данную сферу</w:t>
      </w:r>
      <w:r w:rsidR="001E32E9" w:rsidRPr="00FD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502FAC" w:rsidRPr="00FD7D3C">
        <w:rPr>
          <w:rFonts w:ascii="Times New Roman" w:eastAsia="Times New Roman" w:hAnsi="Times New Roman" w:cs="Times New Roman"/>
          <w:sz w:val="28"/>
          <w:szCs w:val="28"/>
          <w:lang w:eastAsia="ru-RU"/>
        </w:rPr>
        <w:t>2, с. 51</w:t>
      </w:r>
      <w:r w:rsidR="001E32E9" w:rsidRPr="00FD7D3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854186" w:rsidRPr="00FD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13D0D" w:rsidRDefault="00C13D0D" w:rsidP="001F11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например, </w:t>
      </w:r>
      <w:r w:rsidR="00854186" w:rsidRPr="00FD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</w:t>
      </w:r>
      <w:r w:rsidRPr="00FD7D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</w:t>
      </w:r>
      <w:r w:rsidR="00854186" w:rsidRPr="00FD7D3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D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</w:t>
      </w:r>
      <w:r w:rsidR="00854186" w:rsidRPr="00FD7D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</w:t>
      </w:r>
      <w:r w:rsidRPr="00FD7D3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D7D3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домов, построенных более 40 лет назад</w:t>
      </w:r>
      <w:r w:rsidR="00854186" w:rsidRPr="00FD7D3C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требуются большие финансовые вложения.</w:t>
      </w:r>
      <w:r w:rsidRPr="00FD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186" w:rsidRPr="00FD7D3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D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ногие дома построенные в прошлом веке имеют степень износа более 65% и подлежат сносу, </w:t>
      </w:r>
      <w:r w:rsidR="00854186" w:rsidRPr="00FD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Pr="00FD7D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ищет пути восстановления их эк</w:t>
      </w:r>
      <w:r w:rsidRPr="00FD7D3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D7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плуатационных свойств и продления срока полезного использования. На ри</w:t>
      </w:r>
      <w:r w:rsidR="002C7180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Pr="00FD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и 2 приведена статистика состояния жилого фонда многоквартирных домов в России, по данным Федеральной службы государственной статистики на 2017 год</w:t>
      </w:r>
      <w:r w:rsidR="002C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180" w:rsidRPr="002C7180">
        <w:rPr>
          <w:rFonts w:ascii="Times New Roman" w:eastAsia="Times New Roman" w:hAnsi="Times New Roman" w:cs="Times New Roman"/>
          <w:sz w:val="28"/>
          <w:szCs w:val="28"/>
          <w:lang w:eastAsia="ru-RU"/>
        </w:rPr>
        <w:t>[1]</w:t>
      </w:r>
      <w:r w:rsidRPr="00FD7D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11FD" w:rsidRPr="00FD7D3C" w:rsidRDefault="001F11FD" w:rsidP="001F11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1. Состояния жилого фонда многоквартирных домов в России в 2017 году</w:t>
      </w:r>
    </w:p>
    <w:p w:rsidR="00C13D0D" w:rsidRPr="00FD7D3C" w:rsidRDefault="00C13D0D" w:rsidP="001F11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D68B0F" wp14:editId="00A19538">
            <wp:extent cx="6088380" cy="1645920"/>
            <wp:effectExtent l="0" t="0" r="2667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F11FD" w:rsidRDefault="001F11FD" w:rsidP="001F11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F11FD" w:rsidRDefault="001F11FD" w:rsidP="001F11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5C" w:rsidRPr="002C7180" w:rsidRDefault="001F11FD" w:rsidP="001F11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2. Степень износа многоквартирных домов в России, по состоянию на 2017 год </w:t>
      </w:r>
    </w:p>
    <w:p w:rsidR="00C13D0D" w:rsidRPr="00FD7D3C" w:rsidRDefault="00C13D0D" w:rsidP="001F11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E645DB" wp14:editId="0A12CB77">
            <wp:extent cx="5745480" cy="1752600"/>
            <wp:effectExtent l="0" t="0" r="2667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73E5C" w:rsidRPr="00FD7D3C" w:rsidRDefault="00C73E5C" w:rsidP="001F11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статистики подтверждают, что половина многоквартирных домов эксплуатируемых в России построены более 45 лет назад, из них 40% имеют степень износа выше 65%. При этом, дома имеющие степень износа более 70% считаются аварийными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E5C">
        <w:rPr>
          <w:rFonts w:ascii="Times New Roman" w:eastAsia="Times New Roman" w:hAnsi="Times New Roman" w:cs="Times New Roman"/>
          <w:sz w:val="28"/>
          <w:szCs w:val="28"/>
          <w:lang w:eastAsia="ru-RU"/>
        </w:rPr>
        <w:t>[1]</w:t>
      </w:r>
      <w:r w:rsidRPr="00FD7D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11DD" w:rsidRPr="00FD7D3C" w:rsidRDefault="00B311DD" w:rsidP="001F1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Дома, степень износа которых меньше 65%, </w:t>
      </w:r>
      <w:r w:rsidRPr="00FD7D3C">
        <w:rPr>
          <w:rFonts w:ascii="Times New Roman" w:hAnsi="Times New Roman" w:cs="Times New Roman"/>
          <w:sz w:val="28"/>
          <w:szCs w:val="28"/>
        </w:rPr>
        <w:t>требуют ремонта и зачастую, не отдельных элементов: фасада, кровли, внутренних инженерных сетей, а ко</w:t>
      </w:r>
      <w:r w:rsidRPr="00FD7D3C">
        <w:rPr>
          <w:rFonts w:ascii="Times New Roman" w:hAnsi="Times New Roman" w:cs="Times New Roman"/>
          <w:sz w:val="28"/>
          <w:szCs w:val="28"/>
        </w:rPr>
        <w:t>м</w:t>
      </w:r>
      <w:r w:rsidRPr="00FD7D3C">
        <w:rPr>
          <w:rFonts w:ascii="Times New Roman" w:hAnsi="Times New Roman" w:cs="Times New Roman"/>
          <w:sz w:val="28"/>
          <w:szCs w:val="28"/>
        </w:rPr>
        <w:t>плексного подхода по всем пунктам. Таких домов в России 52%.</w:t>
      </w:r>
    </w:p>
    <w:p w:rsidR="00C13D0D" w:rsidRDefault="00C13D0D" w:rsidP="001F11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финансировании расселения или капитального ремонта многоквартирных домов составляет более 20 триллионов рублей [</w:t>
      </w:r>
      <w:r w:rsidR="00502FAC" w:rsidRPr="00FD7D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D7D3C">
        <w:rPr>
          <w:rFonts w:ascii="Times New Roman" w:eastAsia="Times New Roman" w:hAnsi="Times New Roman" w:cs="Times New Roman"/>
          <w:sz w:val="28"/>
          <w:szCs w:val="28"/>
          <w:lang w:eastAsia="ru-RU"/>
        </w:rPr>
        <w:t>]. Соотве</w:t>
      </w:r>
      <w:r w:rsidRPr="00FD7D3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D7D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 в бюджете т</w:t>
      </w:r>
      <w:r w:rsidR="002C718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аких денег. На диаграмме рис.</w:t>
      </w:r>
      <w:r w:rsidRPr="00FD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приведены данные Мин</w:t>
      </w:r>
      <w:r w:rsidRPr="00FD7D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D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стерства Финансов </w:t>
      </w:r>
      <w:proofErr w:type="gramStart"/>
      <w:r w:rsidRPr="00FD7D3C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proofErr w:type="gramEnd"/>
      <w:r w:rsidRPr="00FD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средствах заложенных в федеральном бюджете на ф</w:t>
      </w:r>
      <w:r w:rsidRPr="00FD7D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D7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нансирование сферы ЖКХ в 2017-2020 гг.</w:t>
      </w:r>
    </w:p>
    <w:p w:rsidR="001F11FD" w:rsidRDefault="001F11FD" w:rsidP="001F11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F11FD" w:rsidRDefault="001F11FD" w:rsidP="001F11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1FD" w:rsidRPr="00C73E5C" w:rsidRDefault="001F11FD" w:rsidP="001F11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3. Расходы федерального бюджета на сферу ЖКХ на 2017-2020 годы</w:t>
      </w:r>
    </w:p>
    <w:p w:rsidR="00C13D0D" w:rsidRPr="00FD7D3C" w:rsidRDefault="00C13D0D" w:rsidP="001F11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143833" wp14:editId="38BCB732">
            <wp:extent cx="6096000" cy="2202180"/>
            <wp:effectExtent l="0" t="0" r="19050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13D0D" w:rsidRPr="00C73E5C" w:rsidRDefault="000F3E1C" w:rsidP="001F11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E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</w:t>
      </w:r>
      <w:r w:rsidR="00C13D0D" w:rsidRPr="00C7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федеральном бюджете на ближайшие три года заложено менее 1% от требуемых средств на ремонт и расселение аварийного жилья. П</w:t>
      </w:r>
      <w:r w:rsidR="00C13D0D" w:rsidRPr="00C73E5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13D0D" w:rsidRPr="00C73E5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для решения проблем в сфере ЖКХ используется механизм привлечения частного капитала.</w:t>
      </w:r>
    </w:p>
    <w:p w:rsidR="00C13D0D" w:rsidRPr="00C73E5C" w:rsidRDefault="000F3E1C" w:rsidP="001F11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E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этому с</w:t>
      </w:r>
      <w:r w:rsidR="00C13D0D" w:rsidRPr="00C73E5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тремление частных лиц получить экономическую выгоду от участия в государственно-частном партнерстве в виде налоговых льгот предпринимательской деятельности, дохода от использования объектов государственной и муниципальной собственности, доходов полученных за счет проведения капитального ремонта многоквартирных домов</w:t>
      </w:r>
      <w:r w:rsidR="001E32E9" w:rsidRPr="00C7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502FAC" w:rsidRPr="00C73E5C">
        <w:rPr>
          <w:rFonts w:ascii="Times New Roman" w:eastAsia="Times New Roman" w:hAnsi="Times New Roman" w:cs="Times New Roman"/>
          <w:sz w:val="28"/>
          <w:szCs w:val="28"/>
          <w:lang w:eastAsia="ru-RU"/>
        </w:rPr>
        <w:t>3, с. 68</w:t>
      </w:r>
      <w:r w:rsidR="001E32E9" w:rsidRPr="00C73E5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C13D0D" w:rsidRPr="00C73E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D0D" w:rsidRPr="00C73E5C" w:rsidRDefault="00C13D0D" w:rsidP="001F11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3E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примера можно привести ООО «Управляющей компании Л</w:t>
      </w:r>
      <w:r w:rsidRPr="00C73E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3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РА», которая осуществляет деятельность по содержанию и текущему ремонту многоквартирных домов, что предусматривает льготное налогообложение: компания перечисляет взносы в пенсионный фонд в размере 20% от заработной платы сотрудников, в то время как другие компании оплачивают 22%. Так же, являясь коммерческой организацией, управляющая компания получает пр</w:t>
      </w:r>
      <w:r w:rsidRPr="00C73E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3E5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быль от своей деятельности, не зависимо от того</w:t>
      </w:r>
      <w:proofErr w:type="gramEnd"/>
      <w:r w:rsidRPr="00C73E5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обслуживает она дом частных собственников или муниципальных. Дополнительный доход компания получает за счет проведения капитального ремонта многоквартирных домов находящи</w:t>
      </w:r>
      <w:r w:rsidRPr="00C73E5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73E5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управлении.</w:t>
      </w:r>
    </w:p>
    <w:p w:rsidR="004C5362" w:rsidRPr="00C73E5C" w:rsidRDefault="00B311DD" w:rsidP="001F1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3E5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Таким образом, п</w:t>
      </w:r>
      <w:r w:rsidR="004C5362" w:rsidRPr="00C73E5C">
        <w:rPr>
          <w:rFonts w:ascii="Times New Roman" w:hAnsi="Times New Roman" w:cs="Times New Roman"/>
          <w:sz w:val="28"/>
          <w:szCs w:val="28"/>
          <w:shd w:val="clear" w:color="auto" w:fill="FFFFFF"/>
        </w:rPr>
        <w:t>утем привлечения частн</w:t>
      </w:r>
      <w:r w:rsidRPr="00C73E5C">
        <w:rPr>
          <w:rFonts w:ascii="Times New Roman" w:hAnsi="Times New Roman" w:cs="Times New Roman"/>
          <w:sz w:val="28"/>
          <w:szCs w:val="28"/>
          <w:shd w:val="clear" w:color="auto" w:fill="FFFFFF"/>
        </w:rPr>
        <w:t>ого капитала</w:t>
      </w:r>
      <w:r w:rsidR="004C5362" w:rsidRPr="00C73E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социально-значимые проекты государство решает вопросы их финансирования. В свою очередь для бизнеса появляется возможность расширения сферы выгодного приложения капитала, обеспечивается интерес предпринимателей к совместн</w:t>
      </w:r>
      <w:r w:rsidR="004C5362" w:rsidRPr="00C73E5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C5362" w:rsidRPr="00C73E5C"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 w:rsidR="001B133E" w:rsidRPr="00C73E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государством сотрудничеству, что повышает значимость применения го</w:t>
      </w:r>
      <w:r w:rsidR="001B133E" w:rsidRPr="00C73E5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1B133E" w:rsidRPr="00C73E5C">
        <w:rPr>
          <w:rFonts w:ascii="Times New Roman" w:hAnsi="Times New Roman" w:cs="Times New Roman"/>
          <w:sz w:val="28"/>
          <w:szCs w:val="28"/>
          <w:shd w:val="clear" w:color="auto" w:fill="FFFFFF"/>
        </w:rPr>
        <w:t>ударственно-частного партнерства в сфере ЖКХ.</w:t>
      </w:r>
    </w:p>
    <w:p w:rsidR="005D50D0" w:rsidRPr="00C73E5C" w:rsidRDefault="005D50D0" w:rsidP="001F11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D50D0" w:rsidRPr="00C73E5C" w:rsidRDefault="00667CCF" w:rsidP="001F11F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73E5C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  <w:r w:rsidR="007E2CBD" w:rsidRPr="00C73E5C">
        <w:rPr>
          <w:rFonts w:ascii="Times New Roman" w:hAnsi="Times New Roman" w:cs="Times New Roman"/>
          <w:b/>
          <w:sz w:val="28"/>
          <w:szCs w:val="28"/>
        </w:rPr>
        <w:t>:</w:t>
      </w:r>
    </w:p>
    <w:p w:rsidR="00502FAC" w:rsidRPr="00C73E5C" w:rsidRDefault="00502FAC" w:rsidP="001F11FD">
      <w:pPr>
        <w:pStyle w:val="a7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E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Жилищное хозяйство в России. // Статистический сборник.  – М.: Росстат, 2017.</w:t>
      </w:r>
    </w:p>
    <w:p w:rsidR="005D50D0" w:rsidRPr="00C73E5C" w:rsidRDefault="005D50D0" w:rsidP="001F11FD">
      <w:pPr>
        <w:pStyle w:val="a7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3E5C">
        <w:rPr>
          <w:rFonts w:ascii="Times New Roman" w:hAnsi="Times New Roman" w:cs="Times New Roman"/>
          <w:sz w:val="28"/>
          <w:szCs w:val="28"/>
        </w:rPr>
        <w:t>Мелькумова</w:t>
      </w:r>
      <w:proofErr w:type="spellEnd"/>
      <w:r w:rsidRPr="00C73E5C">
        <w:rPr>
          <w:rFonts w:ascii="Times New Roman" w:hAnsi="Times New Roman" w:cs="Times New Roman"/>
          <w:sz w:val="28"/>
          <w:szCs w:val="28"/>
        </w:rPr>
        <w:t xml:space="preserve"> Н.Г. Государственно-частное партнерство как фактор формирования </w:t>
      </w:r>
      <w:proofErr w:type="spellStart"/>
      <w:r w:rsidRPr="00C73E5C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Pr="00C73E5C">
        <w:rPr>
          <w:rFonts w:ascii="Times New Roman" w:hAnsi="Times New Roman" w:cs="Times New Roman"/>
          <w:sz w:val="28"/>
          <w:szCs w:val="28"/>
        </w:rPr>
        <w:t xml:space="preserve">-ориентированной экономики / Н.Г. </w:t>
      </w:r>
      <w:proofErr w:type="spellStart"/>
      <w:r w:rsidRPr="00C73E5C">
        <w:rPr>
          <w:rFonts w:ascii="Times New Roman" w:hAnsi="Times New Roman" w:cs="Times New Roman"/>
          <w:sz w:val="28"/>
          <w:szCs w:val="28"/>
        </w:rPr>
        <w:t>Мелькумова</w:t>
      </w:r>
      <w:proofErr w:type="spellEnd"/>
      <w:r w:rsidRPr="00C73E5C">
        <w:rPr>
          <w:rFonts w:ascii="Times New Roman" w:hAnsi="Times New Roman" w:cs="Times New Roman"/>
          <w:sz w:val="28"/>
          <w:szCs w:val="28"/>
        </w:rPr>
        <w:t xml:space="preserve"> // Экономика и управление: </w:t>
      </w:r>
      <w:r w:rsidR="00502FAC" w:rsidRPr="00C73E5C">
        <w:rPr>
          <w:rFonts w:ascii="Times New Roman" w:hAnsi="Times New Roman" w:cs="Times New Roman"/>
          <w:sz w:val="28"/>
          <w:szCs w:val="28"/>
        </w:rPr>
        <w:t>Российский научный журнал. 2016. №3/6.</w:t>
      </w:r>
    </w:p>
    <w:p w:rsidR="00502FAC" w:rsidRPr="00C73E5C" w:rsidRDefault="005D50D0" w:rsidP="001F11FD">
      <w:pPr>
        <w:pStyle w:val="a7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73E5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Панферова Е. В. Развитие государственно-частного партнерства: проблемы и перспективы // Научно-методический</w:t>
      </w:r>
      <w:r w:rsidR="00502FAC" w:rsidRPr="00C73E5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электронный журнал «Ко</w:t>
      </w:r>
      <w:r w:rsidR="00502FAC" w:rsidRPr="00C73E5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</w:t>
      </w:r>
      <w:r w:rsidR="00502FAC" w:rsidRPr="00C73E5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цепт». 2016. Т. 5.</w:t>
      </w:r>
    </w:p>
    <w:p w:rsidR="007E2CBD" w:rsidRPr="00C73E5C" w:rsidRDefault="007E2CBD" w:rsidP="001F11F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CBD" w:rsidRDefault="007E2CBD" w:rsidP="001F11F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E5C" w:rsidRDefault="00C73E5C" w:rsidP="001F11F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675" w:rsidRPr="00C73E5C" w:rsidRDefault="006B7675" w:rsidP="001F11FD">
      <w:pPr>
        <w:tabs>
          <w:tab w:val="left" w:pos="567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73E5C">
        <w:rPr>
          <w:rFonts w:ascii="Times New Roman" w:hAnsi="Times New Roman" w:cs="Times New Roman"/>
          <w:sz w:val="28"/>
          <w:szCs w:val="28"/>
        </w:rPr>
        <w:t>©</w:t>
      </w:r>
      <w:r w:rsidR="007E2CBD" w:rsidRPr="00C73E5C">
        <w:rPr>
          <w:rFonts w:ascii="Times New Roman" w:hAnsi="Times New Roman" w:cs="Times New Roman"/>
          <w:sz w:val="28"/>
          <w:szCs w:val="28"/>
        </w:rPr>
        <w:t xml:space="preserve"> А.С. Разгуляева, </w:t>
      </w:r>
      <w:r w:rsidRPr="00C73E5C">
        <w:rPr>
          <w:rFonts w:ascii="Times New Roman" w:hAnsi="Times New Roman" w:cs="Times New Roman"/>
          <w:sz w:val="28"/>
          <w:szCs w:val="28"/>
        </w:rPr>
        <w:t>2018</w:t>
      </w:r>
    </w:p>
    <w:sectPr w:rsidR="006B7675" w:rsidRPr="00C73E5C" w:rsidSect="00FD7D3C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A209C"/>
    <w:multiLevelType w:val="hybridMultilevel"/>
    <w:tmpl w:val="7DFA87D4"/>
    <w:lvl w:ilvl="0" w:tplc="3D2AFFB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272A6"/>
    <w:multiLevelType w:val="hybridMultilevel"/>
    <w:tmpl w:val="A336E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D0AE4"/>
    <w:multiLevelType w:val="hybridMultilevel"/>
    <w:tmpl w:val="4746B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D6"/>
    <w:rsid w:val="000F3E1C"/>
    <w:rsid w:val="000F5ABC"/>
    <w:rsid w:val="001B133E"/>
    <w:rsid w:val="001E32E9"/>
    <w:rsid w:val="001F11FD"/>
    <w:rsid w:val="001F19D6"/>
    <w:rsid w:val="00216CBB"/>
    <w:rsid w:val="002C7180"/>
    <w:rsid w:val="004C5362"/>
    <w:rsid w:val="00502FAC"/>
    <w:rsid w:val="0051593B"/>
    <w:rsid w:val="005B5B99"/>
    <w:rsid w:val="005D50D0"/>
    <w:rsid w:val="0064059D"/>
    <w:rsid w:val="00667CCF"/>
    <w:rsid w:val="006B7675"/>
    <w:rsid w:val="007E2CBD"/>
    <w:rsid w:val="007F1400"/>
    <w:rsid w:val="00854186"/>
    <w:rsid w:val="00A73604"/>
    <w:rsid w:val="00AD25AB"/>
    <w:rsid w:val="00B311DD"/>
    <w:rsid w:val="00C13D0D"/>
    <w:rsid w:val="00C73E5C"/>
    <w:rsid w:val="00D35038"/>
    <w:rsid w:val="00E6008C"/>
    <w:rsid w:val="00FB69FC"/>
    <w:rsid w:val="00FD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13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13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3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D0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5D50D0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5D50D0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B767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13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13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3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D0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5D50D0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5D50D0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B767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2298427496312654"/>
          <c:y val="2.6471863035469192E-2"/>
          <c:w val="0.26682138762692209"/>
          <c:h val="0.9071927179315351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многоквартирных домов по году постройки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 1971 г.</c:v>
                </c:pt>
                <c:pt idx="1">
                  <c:v>1971-1995 гг.</c:v>
                </c:pt>
                <c:pt idx="2">
                  <c:v>После 1995 г.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0.49</c:v>
                </c:pt>
                <c:pt idx="1">
                  <c:v>0.44</c:v>
                </c:pt>
                <c:pt idx="2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389023024187055"/>
          <c:y val="0.24599008457276172"/>
          <c:w val="0.25267213938683197"/>
          <c:h val="0.53012884753042233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1114632719981616"/>
          <c:y val="7.3356727148236919E-2"/>
          <c:w val="0.27446096757799177"/>
          <c:h val="0.8997546502339381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Степень износа многоквартирных домов </c:v>
                </c:pt>
              </c:strCache>
            </c:strRef>
          </c:tx>
          <c:explosion val="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От 0% до 30%</c:v>
                </c:pt>
                <c:pt idx="1">
                  <c:v>От 31% до 65%</c:v>
                </c:pt>
                <c:pt idx="2">
                  <c:v>Свыше 65%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</c:v>
                </c:pt>
                <c:pt idx="1">
                  <c:v>0.52</c:v>
                </c:pt>
                <c:pt idx="2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8840392795728123"/>
          <c:y val="0.20481399064247405"/>
          <c:w val="0.26296654065456671"/>
          <c:h val="0.58312507132260638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федерального бюджета на сферу ЖКХ, млрд. руб.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72.5</c:v>
                </c:pt>
                <c:pt idx="1">
                  <c:v>125.8</c:v>
                </c:pt>
                <c:pt idx="2">
                  <c:v>98.5</c:v>
                </c:pt>
                <c:pt idx="3" formatCode="0.0">
                  <c:v>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976256"/>
        <c:axId val="94059264"/>
      </c:barChart>
      <c:catAx>
        <c:axId val="114976256"/>
        <c:scaling>
          <c:orientation val="minMax"/>
        </c:scaling>
        <c:delete val="0"/>
        <c:axPos val="b"/>
        <c:majorTickMark val="out"/>
        <c:minorTickMark val="none"/>
        <c:tickLblPos val="nextTo"/>
        <c:crossAx val="94059264"/>
        <c:crosses val="autoZero"/>
        <c:auto val="1"/>
        <c:lblAlgn val="ctr"/>
        <c:lblOffset val="100"/>
        <c:noMultiLvlLbl val="0"/>
      </c:catAx>
      <c:valAx>
        <c:axId val="94059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9762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Адин</dc:creator>
  <cp:lastModifiedBy>Разгуляева, Анастасия Сергеевна</cp:lastModifiedBy>
  <cp:revision>4</cp:revision>
  <cp:lastPrinted>2018-07-28T12:58:00Z</cp:lastPrinted>
  <dcterms:created xsi:type="dcterms:W3CDTF">2018-10-30T10:28:00Z</dcterms:created>
  <dcterms:modified xsi:type="dcterms:W3CDTF">2018-10-30T14:20:00Z</dcterms:modified>
</cp:coreProperties>
</file>